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EF758" w14:textId="67F4FC88" w:rsidR="009F2D9B" w:rsidRPr="00430BD9" w:rsidRDefault="00430BD9" w:rsidP="003A05C7">
      <w:pPr>
        <w:jc w:val="both"/>
        <w:rPr>
          <w:rFonts w:ascii="Times New Roman" w:hAnsi="Times New Roman" w:cs="Times New Roman"/>
          <w:sz w:val="24"/>
          <w:szCs w:val="24"/>
        </w:rPr>
      </w:pPr>
      <w:r w:rsidRPr="00430BD9">
        <w:rPr>
          <w:rFonts w:ascii="Times New Roman" w:hAnsi="Times New Roman" w:cs="Times New Roman"/>
          <w:sz w:val="24"/>
          <w:szCs w:val="24"/>
        </w:rPr>
        <w:t>“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 xml:space="preserve">En </w:t>
      </w:r>
      <w:r w:rsidR="003A05C7" w:rsidRPr="00235604">
        <w:rPr>
          <w:rFonts w:ascii="Times New Roman" w:hAnsi="Times New Roman" w:cs="Times New Roman"/>
          <w:i/>
          <w:iCs/>
          <w:sz w:val="24"/>
          <w:szCs w:val="24"/>
          <w:u w:val="single"/>
        </w:rPr>
        <w:t>ASOCIACION POR LA DEFENSA DE USUARIOS Y CONSUMIDORES  c/ BBVA BANCO FRANCES S.A. s/</w:t>
      </w:r>
      <w:r w:rsidR="002356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3A05C7" w:rsidRPr="00235604">
        <w:rPr>
          <w:rFonts w:ascii="Times New Roman" w:hAnsi="Times New Roman" w:cs="Times New Roman"/>
          <w:i/>
          <w:iCs/>
          <w:sz w:val="24"/>
          <w:szCs w:val="24"/>
          <w:u w:val="single"/>
        </w:rPr>
        <w:t>ORDINARIO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 xml:space="preserve"> (COM 13050/2018), causa iniciada el 13/06/2018, en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ámite ante el Juzgado Nacional de Primera Instancia en lo Comercial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N° 17 sit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 xml:space="preserve"> en M.</w:t>
      </w:r>
      <w:r w:rsidR="002356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T.</w:t>
      </w:r>
      <w:r w:rsidR="00235604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Alvear 1840 Piso 3 CABA, a cargo del Dr.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Federico Güerri, Secretaría N° 33 a cargo del Dr. Rafael Trebino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Figueroa, se comunica al potencial colectivo afectado, compuesto por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clientes y exclientes del banco demandado que revistan la condición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de consumidores finales que en estos autos se debate el alcance de la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percepción de comisiones por operaciones intersucursales en pesos en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el marco de lo previsto por la Com “A” 5795 del BCRA. La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asociación actora reclama el cese del cobro de la comisión o cargo y la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correspondiente restitución a todos los consumidores finales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afectados, en forma íntegra, de las sumas de dinero, más intereses, de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lo percibido po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 xml:space="preserve"> dichos conceptos. Mientras dure el contexto de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pandemia por COVID 19 los interesados podrán ejercer el derecho de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exclusión previsto por el art. 54 de la ley 24.240 (2°  párrafo),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enviando un mail a jncomercial17.sec33@pjn.gov.ar, antes del dictado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de la sentencia, con indicación de la carátula y número de expediente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en el que se dirigen, su nombre, apellido y DNI. En caso de cesar las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restricciones de circulación y/o uso de transporte público se habilita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 xml:space="preserve">manifestar su voluntad mediante nota o carta simple 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sin firma de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letrado) dirigida al tribunal haciendo saber su voluntad de abstenerse</w:t>
      </w:r>
      <w:r w:rsidRPr="00430BD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de los alcances de la cosa juzgada que resulte de la sentencia. Si la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sentencia a dictarse denegare el reclamo colectivo, subsistirá para cada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damnificado la vía judicial individual. Podrán consultar el expediente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exclusivamente de manera remota a través  de la página del Poder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Judicial de la Nación, o bien comunicarse con  ADUC al tel. 5032­2615, o via email: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info@aduc.org.ar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5604" w:rsidRPr="00235604">
        <w:rPr>
          <w:rFonts w:ascii="Times New Roman" w:hAnsi="Times New Roman" w:cs="Times New Roman"/>
          <w:i/>
          <w:iCs/>
          <w:sz w:val="24"/>
          <w:szCs w:val="24"/>
        </w:rPr>
        <w:t xml:space="preserve">Para mayor detalle sobre el objeto del reclamo colectivo, podrán ingresar en: </w:t>
      </w:r>
      <w:hyperlink r:id="rId4" w:history="1">
        <w:r w:rsidR="00235604" w:rsidRPr="00507EF9">
          <w:rPr>
            <w:rStyle w:val="Hipervnculo"/>
            <w:rFonts w:ascii="Times New Roman" w:hAnsi="Times New Roman" w:cs="Times New Roman"/>
            <w:i/>
            <w:iCs/>
            <w:sz w:val="24"/>
            <w:szCs w:val="24"/>
          </w:rPr>
          <w:t>http://aduc.org.ar</w:t>
        </w:r>
      </w:hyperlink>
      <w:r w:rsidR="002356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Fiscales intervinientes: Dra.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Mónica Susana Mauri (Primera Instancia) y Dra. Gabriela Boquin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05C7" w:rsidRPr="003A05C7">
        <w:rPr>
          <w:rFonts w:ascii="Times New Roman" w:hAnsi="Times New Roman" w:cs="Times New Roman"/>
          <w:i/>
          <w:iCs/>
          <w:sz w:val="24"/>
          <w:szCs w:val="24"/>
        </w:rPr>
        <w:t>(Segunda Instancia</w:t>
      </w:r>
      <w:r w:rsidR="003A05C7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A05C7">
        <w:rPr>
          <w:rFonts w:ascii="Times New Roman" w:hAnsi="Times New Roman" w:cs="Times New Roman"/>
          <w:sz w:val="24"/>
          <w:szCs w:val="24"/>
        </w:rPr>
        <w:t>.</w:t>
      </w:r>
    </w:p>
    <w:sectPr w:rsidR="009F2D9B" w:rsidRPr="00430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D9"/>
    <w:rsid w:val="00235604"/>
    <w:rsid w:val="003A05C7"/>
    <w:rsid w:val="00430BD9"/>
    <w:rsid w:val="009F2D9B"/>
    <w:rsid w:val="00B5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302C"/>
  <w15:chartTrackingRefBased/>
  <w15:docId w15:val="{E5677343-CEDD-462D-872F-2E4A2206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0B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0BD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uc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Nieto</dc:creator>
  <cp:keywords/>
  <dc:description/>
  <cp:lastModifiedBy>Santiago Nieto</cp:lastModifiedBy>
  <cp:revision>4</cp:revision>
  <dcterms:created xsi:type="dcterms:W3CDTF">2020-11-06T18:26:00Z</dcterms:created>
  <dcterms:modified xsi:type="dcterms:W3CDTF">2020-11-06T19:03:00Z</dcterms:modified>
</cp:coreProperties>
</file>