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A6" w:rsidRDefault="007F16DF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72146"/>
          <w:sz w:val="44"/>
          <w:szCs w:val="44"/>
        </w:rPr>
      </w:pPr>
      <w:bookmarkStart w:id="0" w:name="_GoBack"/>
      <w:bookmarkEnd w:id="0"/>
      <w:r>
        <w:rPr>
          <w:b/>
          <w:color w:val="072146"/>
          <w:sz w:val="44"/>
          <w:szCs w:val="44"/>
        </w:rPr>
        <w:t xml:space="preserve">Seguro de </w:t>
      </w:r>
      <w:r w:rsidR="00C332A2">
        <w:rPr>
          <w:b/>
          <w:color w:val="072146"/>
          <w:sz w:val="44"/>
          <w:szCs w:val="44"/>
        </w:rPr>
        <w:t>Hogar Premier</w:t>
      </w:r>
      <w:r>
        <w:rPr>
          <w:b/>
          <w:color w:val="072146"/>
          <w:sz w:val="44"/>
          <w:szCs w:val="44"/>
        </w:rPr>
        <w:t xml:space="preserve"> </w:t>
      </w:r>
    </w:p>
    <w:p w:rsidR="00C63AA6" w:rsidRDefault="00C63AA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color w:val="072146"/>
          <w:sz w:val="44"/>
          <w:szCs w:val="44"/>
        </w:rPr>
      </w:pPr>
    </w:p>
    <w:p w:rsidR="00C63AA6" w:rsidRDefault="007F16DF">
      <w:pPr>
        <w:spacing w:before="120" w:after="120"/>
        <w:rPr>
          <w:b/>
          <w:color w:val="2DCCCD"/>
          <w:sz w:val="28"/>
          <w:szCs w:val="28"/>
        </w:rPr>
      </w:pPr>
      <w:r>
        <w:rPr>
          <w:b/>
          <w:color w:val="2DCCCD"/>
          <w:sz w:val="28"/>
          <w:szCs w:val="28"/>
        </w:rPr>
        <w:t>¿Qué es?</w:t>
      </w:r>
    </w:p>
    <w:p w:rsidR="000C7AF6" w:rsidRDefault="000C7AF6" w:rsidP="000C7AF6">
      <w:pPr>
        <w:spacing w:before="120" w:after="120"/>
        <w:rPr>
          <w:color w:val="0F4A7B"/>
          <w:sz w:val="22"/>
          <w:szCs w:val="22"/>
        </w:rPr>
      </w:pPr>
      <w:r w:rsidRPr="000C7AF6">
        <w:rPr>
          <w:color w:val="0F4A7B"/>
          <w:sz w:val="22"/>
          <w:szCs w:val="22"/>
        </w:rPr>
        <w:t>El Seguro de Hogar Premier cuenta con distintas coberturas que pueden proteger en forma</w:t>
      </w:r>
      <w:r>
        <w:rPr>
          <w:color w:val="0F4A7B"/>
          <w:sz w:val="22"/>
          <w:szCs w:val="22"/>
        </w:rPr>
        <w:t xml:space="preserve"> </w:t>
      </w:r>
      <w:r w:rsidRPr="000C7AF6">
        <w:rPr>
          <w:color w:val="0F4A7B"/>
          <w:sz w:val="22"/>
          <w:szCs w:val="22"/>
        </w:rPr>
        <w:t>integral tu casa y todas las cosas que estén en ella. Está diseñado para responder en forma rápida</w:t>
      </w:r>
      <w:r>
        <w:rPr>
          <w:color w:val="0F4A7B"/>
          <w:sz w:val="22"/>
          <w:szCs w:val="22"/>
        </w:rPr>
        <w:t xml:space="preserve"> </w:t>
      </w:r>
      <w:r w:rsidRPr="000C7AF6">
        <w:rPr>
          <w:color w:val="0F4A7B"/>
          <w:sz w:val="22"/>
          <w:szCs w:val="22"/>
        </w:rPr>
        <w:t>y sencilla a la necesidad de proteger a tu familia y tus bienes.</w:t>
      </w:r>
    </w:p>
    <w:p w:rsidR="007F16DF" w:rsidRDefault="007F16DF">
      <w:pPr>
        <w:spacing w:before="120" w:after="120"/>
        <w:rPr>
          <w:color w:val="0F4A7B"/>
          <w:sz w:val="22"/>
          <w:szCs w:val="22"/>
        </w:rPr>
      </w:pPr>
    </w:p>
    <w:p w:rsidR="00C63AA6" w:rsidRDefault="007F16DF">
      <w:pPr>
        <w:spacing w:before="120" w:after="120"/>
        <w:rPr>
          <w:b/>
          <w:color w:val="2DCCCD"/>
          <w:sz w:val="28"/>
          <w:szCs w:val="28"/>
        </w:rPr>
      </w:pPr>
      <w:r>
        <w:rPr>
          <w:b/>
          <w:color w:val="2DCCCD"/>
          <w:sz w:val="28"/>
          <w:szCs w:val="28"/>
        </w:rPr>
        <w:t>¿Quién puede obtenerlo?</w:t>
      </w:r>
    </w:p>
    <w:p w:rsidR="00C63AA6" w:rsidRDefault="007F16DF" w:rsidP="000C7AF6">
      <w:pPr>
        <w:spacing w:before="120" w:after="120"/>
        <w:rPr>
          <w:color w:val="0F4A7B"/>
          <w:sz w:val="22"/>
          <w:szCs w:val="22"/>
        </w:rPr>
      </w:pPr>
      <w:r>
        <w:rPr>
          <w:color w:val="0F4A7B"/>
          <w:sz w:val="22"/>
          <w:szCs w:val="22"/>
        </w:rPr>
        <w:t>Cualquier cliente de BBVA</w:t>
      </w:r>
      <w:r w:rsidR="000C7AF6">
        <w:rPr>
          <w:color w:val="0F4A7B"/>
          <w:sz w:val="22"/>
          <w:szCs w:val="22"/>
        </w:rPr>
        <w:t xml:space="preserve">, sean </w:t>
      </w:r>
      <w:r w:rsidR="000C7AF6" w:rsidRPr="000C7AF6">
        <w:rPr>
          <w:color w:val="0F4A7B"/>
          <w:sz w:val="22"/>
          <w:szCs w:val="22"/>
        </w:rPr>
        <w:t>propietarios o inquilinos que utilicen el hogar como vivienda perman</w:t>
      </w:r>
      <w:r w:rsidR="000C7AF6">
        <w:rPr>
          <w:color w:val="0F4A7B"/>
          <w:sz w:val="22"/>
          <w:szCs w:val="22"/>
        </w:rPr>
        <w:t>e</w:t>
      </w:r>
      <w:r w:rsidR="000C7AF6" w:rsidRPr="000C7AF6">
        <w:rPr>
          <w:color w:val="0F4A7B"/>
          <w:sz w:val="22"/>
          <w:szCs w:val="22"/>
        </w:rPr>
        <w:t>nte y en ella no se</w:t>
      </w:r>
      <w:r w:rsidR="000C7AF6">
        <w:rPr>
          <w:color w:val="0F4A7B"/>
          <w:sz w:val="22"/>
          <w:szCs w:val="22"/>
        </w:rPr>
        <w:t xml:space="preserve"> </w:t>
      </w:r>
      <w:r w:rsidR="000C7AF6" w:rsidRPr="000C7AF6">
        <w:rPr>
          <w:color w:val="0F4A7B"/>
          <w:sz w:val="22"/>
          <w:szCs w:val="22"/>
        </w:rPr>
        <w:t>desarrollen actividades comerciales.</w:t>
      </w:r>
    </w:p>
    <w:p w:rsidR="00C63AA6" w:rsidRDefault="00C63AA6">
      <w:pPr>
        <w:spacing w:before="120" w:after="120"/>
        <w:rPr>
          <w:color w:val="0F4A7B"/>
          <w:sz w:val="22"/>
          <w:szCs w:val="22"/>
        </w:rPr>
      </w:pPr>
    </w:p>
    <w:p w:rsidR="00C63AA6" w:rsidRDefault="007F16DF">
      <w:pPr>
        <w:spacing w:before="120" w:after="120"/>
        <w:rPr>
          <w:b/>
          <w:color w:val="2DCCCD"/>
          <w:sz w:val="28"/>
          <w:szCs w:val="28"/>
        </w:rPr>
      </w:pPr>
      <w:r>
        <w:rPr>
          <w:b/>
          <w:color w:val="2DCCCD"/>
          <w:sz w:val="28"/>
          <w:szCs w:val="28"/>
        </w:rPr>
        <w:t>¿Qué requisitos son necesarios?</w:t>
      </w:r>
    </w:p>
    <w:p w:rsidR="00C63AA6" w:rsidRDefault="007F16DF">
      <w:pPr>
        <w:numPr>
          <w:ilvl w:val="0"/>
          <w:numId w:val="1"/>
        </w:numPr>
        <w:spacing w:before="120"/>
        <w:rPr>
          <w:sz w:val="22"/>
          <w:szCs w:val="22"/>
        </w:rPr>
      </w:pPr>
      <w:r>
        <w:rPr>
          <w:color w:val="0F4A7B"/>
          <w:sz w:val="22"/>
          <w:szCs w:val="22"/>
        </w:rPr>
        <w:t>Ser cliente de BBVA.</w:t>
      </w:r>
    </w:p>
    <w:p w:rsidR="00C63AA6" w:rsidRDefault="007F16DF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color w:val="0F4A7B"/>
          <w:sz w:val="22"/>
          <w:szCs w:val="22"/>
        </w:rPr>
        <w:t xml:space="preserve">Pagar mediante débito automático en Tarjeta de Crédito o Cuenta de BBVA, en forma mensual. </w:t>
      </w:r>
    </w:p>
    <w:p w:rsidR="00C63AA6" w:rsidRDefault="00C63AA6">
      <w:pPr>
        <w:spacing w:before="120" w:after="120"/>
        <w:ind w:left="720"/>
        <w:rPr>
          <w:color w:val="0F4A7B"/>
          <w:sz w:val="22"/>
          <w:szCs w:val="22"/>
        </w:rPr>
      </w:pPr>
    </w:p>
    <w:p w:rsidR="00C63AA6" w:rsidRDefault="007F16D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DCCCD"/>
          <w:sz w:val="28"/>
          <w:szCs w:val="28"/>
        </w:rPr>
      </w:pPr>
      <w:r>
        <w:rPr>
          <w:b/>
          <w:color w:val="2DCCCD"/>
          <w:sz w:val="28"/>
          <w:szCs w:val="28"/>
        </w:rPr>
        <w:t>¿Cuáles son sus principales características?</w:t>
      </w:r>
    </w:p>
    <w:p w:rsidR="00DB428D" w:rsidRDefault="00DB428D" w:rsidP="00BE7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DB428D">
        <w:rPr>
          <w:color w:val="0F4A7B"/>
          <w:sz w:val="22"/>
          <w:szCs w:val="22"/>
        </w:rPr>
        <w:t>No requiere inspección previa, ya que la propiedad debe cumplir con las medidas mínimas de seguridad para Robo e Incendio.</w:t>
      </w:r>
    </w:p>
    <w:p w:rsidR="00DB428D" w:rsidRPr="00DB428D" w:rsidRDefault="00DB428D" w:rsidP="00BE78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DB428D">
        <w:rPr>
          <w:color w:val="0F4A7B"/>
          <w:sz w:val="22"/>
          <w:szCs w:val="22"/>
        </w:rPr>
        <w:t>Todas las coberturas son a 1er Riesgo Absoluto.</w:t>
      </w:r>
    </w:p>
    <w:p w:rsidR="00DB428D" w:rsidRPr="00DB428D" w:rsidRDefault="00DB428D" w:rsidP="00D72D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sz w:val="22"/>
          <w:szCs w:val="22"/>
        </w:rPr>
      </w:pPr>
      <w:r w:rsidRPr="00DB428D">
        <w:rPr>
          <w:color w:val="0F4A7B"/>
          <w:sz w:val="22"/>
          <w:szCs w:val="22"/>
        </w:rPr>
        <w:t>Cláusula de Ajuste: en cada renovación anual se ajustará la Suma Asegurada según la variación del índice de precios de la construcción. Independientemente de esta cláusula, el cliente podrá aumentar o disminuir la Suma Asegurada en cualquier momento de vigencia de la póliza, solicitándola a la compañía de Seguros.</w:t>
      </w:r>
    </w:p>
    <w:p w:rsidR="00DB428D" w:rsidRPr="00DB428D" w:rsidRDefault="007F16DF" w:rsidP="00664B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2"/>
          <w:szCs w:val="22"/>
        </w:rPr>
      </w:pPr>
      <w:r w:rsidRPr="00DB428D">
        <w:rPr>
          <w:color w:val="0F4A7B"/>
          <w:sz w:val="22"/>
          <w:szCs w:val="22"/>
        </w:rPr>
        <w:t xml:space="preserve">Podés contratarlo personalmente en la sucursal más cercana o llamando al 0810 999 0202. </w:t>
      </w:r>
    </w:p>
    <w:p w:rsidR="00C63AA6" w:rsidRPr="00DB428D" w:rsidRDefault="007F16DF" w:rsidP="00664B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sz w:val="22"/>
          <w:szCs w:val="22"/>
        </w:rPr>
      </w:pPr>
      <w:r w:rsidRPr="00DB428D">
        <w:rPr>
          <w:color w:val="0F4A7B"/>
          <w:sz w:val="22"/>
          <w:szCs w:val="22"/>
        </w:rPr>
        <w:t xml:space="preserve">La vigencia del seguro es anual y se renueva automáticamente. </w:t>
      </w:r>
    </w:p>
    <w:p w:rsidR="00C63AA6" w:rsidRDefault="00C63AA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DCCCD"/>
          <w:sz w:val="28"/>
          <w:szCs w:val="28"/>
        </w:rPr>
      </w:pPr>
    </w:p>
    <w:p w:rsidR="0096207B" w:rsidRPr="0096207B" w:rsidRDefault="009620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DCCCD"/>
          <w:sz w:val="28"/>
          <w:szCs w:val="28"/>
        </w:rPr>
      </w:pPr>
      <w:r w:rsidRPr="0096207B">
        <w:rPr>
          <w:b/>
          <w:color w:val="2DCCCD"/>
          <w:sz w:val="28"/>
          <w:szCs w:val="28"/>
        </w:rPr>
        <w:t>Resumen de coberturas</w:t>
      </w:r>
    </w:p>
    <w:p w:rsidR="0096207B" w:rsidRPr="0096207B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6207B">
        <w:rPr>
          <w:b/>
          <w:color w:val="0F4A7B"/>
          <w:sz w:val="22"/>
          <w:szCs w:val="22"/>
        </w:rPr>
        <w:t>Incendio Edificio/Contenido:</w:t>
      </w:r>
    </w:p>
    <w:p w:rsidR="0096207B" w:rsidRPr="0096207B" w:rsidRDefault="0096207B" w:rsidP="0096207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por todos los daños materiales causados por la acción directa o indirecta del</w:t>
      </w:r>
      <w:r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fuego sobre los bienes muebles e inmuebles, tanto en la vivienda como en su baulera (Incendio</w:t>
      </w:r>
      <w:r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Edificio incluye gastos de alojamiento y limpieza, retiro de escombros, demolición del edificio,</w:t>
      </w:r>
      <w:r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honorarios profesionales y daños estéticos). Se incluyen los daños por explosión o rayo.</w:t>
      </w:r>
    </w:p>
    <w:p w:rsidR="0096207B" w:rsidRPr="0096207B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6207B">
        <w:rPr>
          <w:b/>
          <w:color w:val="0F4A7B"/>
          <w:sz w:val="22"/>
          <w:szCs w:val="22"/>
        </w:rPr>
        <w:lastRenderedPageBreak/>
        <w:t>Pérdida de Alimentos:</w:t>
      </w:r>
    </w:p>
    <w:p w:rsidR="0096207B" w:rsidRPr="0096207B" w:rsidRDefault="0096207B" w:rsidP="0096207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por las pérdidas o deterioros de alimentos refrigerados por falta de</w:t>
      </w:r>
      <w:r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aprovisionamiento de la energía eléctrica de la red pública por más de 12 hs. consecutiva.</w:t>
      </w:r>
    </w:p>
    <w:p w:rsidR="0096207B" w:rsidRPr="0096207B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6207B">
        <w:rPr>
          <w:b/>
          <w:color w:val="0F4A7B"/>
          <w:sz w:val="22"/>
          <w:szCs w:val="22"/>
        </w:rPr>
        <w:t>Robo/Hurto Contenido General:</w:t>
      </w:r>
    </w:p>
    <w:p w:rsidR="0096207B" w:rsidRPr="0096207B" w:rsidRDefault="0096207B" w:rsidP="0096207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por la pérdida a consecuencia de robo y/o hurto como así también los daños que</w:t>
      </w:r>
      <w:r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sufran los bienes del asegurado como consecuencia del mismo o su tentativa. Incluye cobertura</w:t>
      </w:r>
      <w:r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 xml:space="preserve">en baulera y los robos cometidos o instigados por el personal de servicio doméstico del </w:t>
      </w:r>
      <w:r>
        <w:rPr>
          <w:color w:val="0F4A7B"/>
          <w:sz w:val="22"/>
          <w:szCs w:val="22"/>
        </w:rPr>
        <w:t>a</w:t>
      </w:r>
      <w:r w:rsidRPr="0096207B">
        <w:rPr>
          <w:color w:val="0F4A7B"/>
          <w:sz w:val="22"/>
          <w:szCs w:val="22"/>
        </w:rPr>
        <w:t>segurado.</w:t>
      </w:r>
    </w:p>
    <w:p w:rsidR="0096207B" w:rsidRPr="0096207B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6207B">
        <w:rPr>
          <w:b/>
          <w:color w:val="0F4A7B"/>
          <w:sz w:val="22"/>
          <w:szCs w:val="22"/>
        </w:rPr>
        <w:t>Responsabilidad Civil Hechos Privados:</w:t>
      </w:r>
    </w:p>
    <w:p w:rsidR="0096207B" w:rsidRPr="0096207B" w:rsidRDefault="0096207B" w:rsidP="0096207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para afrontar los daños producidos a terceros por el asegurado, su cónyuge y</w:t>
      </w:r>
      <w:r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personas por las que fuera responsable, siempre que no se vinculen a su actividad profesional,</w:t>
      </w:r>
      <w:r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laboral o comercial.</w:t>
      </w:r>
    </w:p>
    <w:p w:rsidR="0096207B" w:rsidRPr="0096207B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6207B">
        <w:rPr>
          <w:b/>
          <w:color w:val="0F4A7B"/>
          <w:sz w:val="22"/>
          <w:szCs w:val="22"/>
        </w:rPr>
        <w:t>Responsabilidad Civil Linderos:</w:t>
      </w:r>
    </w:p>
    <w:p w:rsidR="0096207B" w:rsidRPr="0096207B" w:rsidRDefault="0096207B" w:rsidP="0096207B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para afrontar la responsabilidad civil ante un tercero por los daños ocasionados a</w:t>
      </w:r>
      <w:r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consecuencia de la acción directa o indirecta del fuego y/o explosión.</w:t>
      </w:r>
    </w:p>
    <w:p w:rsidR="0096207B" w:rsidRPr="009F71FF" w:rsidRDefault="0096207B" w:rsidP="00E65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>Equipos Electromecánicos</w:t>
      </w:r>
      <w:r w:rsidRPr="009F71FF">
        <w:rPr>
          <w:color w:val="0F4A7B"/>
          <w:sz w:val="22"/>
          <w:szCs w:val="22"/>
        </w:rPr>
        <w:t xml:space="preserve"> (TV, Video, Audio, DVD, PC Escritorio, Impresora, Microondas,</w:t>
      </w:r>
      <w:r w:rsidR="009F71FF" w:rsidRPr="009F71FF">
        <w:rPr>
          <w:color w:val="0F4A7B"/>
          <w:sz w:val="22"/>
          <w:szCs w:val="22"/>
        </w:rPr>
        <w:t xml:space="preserve"> </w:t>
      </w:r>
      <w:r w:rsidRPr="009F71FF">
        <w:rPr>
          <w:color w:val="0F4A7B"/>
          <w:sz w:val="22"/>
          <w:szCs w:val="22"/>
        </w:rPr>
        <w:t>Videoconsola, Horno/Cocina Eléctrica, Termotanques Eléctricos, Lavarropa, Lavavajilla,</w:t>
      </w:r>
      <w:r w:rsidR="009F71FF" w:rsidRPr="009F71FF">
        <w:rPr>
          <w:color w:val="0F4A7B"/>
          <w:sz w:val="22"/>
          <w:szCs w:val="22"/>
        </w:rPr>
        <w:t xml:space="preserve"> </w:t>
      </w:r>
      <w:r w:rsidRPr="009F71FF">
        <w:rPr>
          <w:color w:val="0F4A7B"/>
          <w:sz w:val="22"/>
          <w:szCs w:val="22"/>
        </w:rPr>
        <w:t>Heladera, Freezer, Cava, Equipo de Aire Acondicionado frío-calor):</w:t>
      </w:r>
    </w:p>
    <w:p w:rsidR="0096207B" w:rsidRPr="0096207B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por la pérdida o daño de los aparatos o equipos producidos por incendio,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robo/hurto y accidente dentro del país. Incluye daños o pérdidas por falta o deficiencia en la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provisión de energía.</w:t>
      </w:r>
    </w:p>
    <w:p w:rsidR="0096207B" w:rsidRPr="009F71FF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>Cristales:</w:t>
      </w:r>
    </w:p>
    <w:p w:rsidR="0096207B" w:rsidRPr="0096207B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por los daños sufridos por los cristales, vidrios y espejos (colocados en posición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vertical) como consecuencia de rotura o rajadura.</w:t>
      </w:r>
    </w:p>
    <w:p w:rsidR="0096207B" w:rsidRPr="009F71FF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>Daños por Agua:</w:t>
      </w:r>
    </w:p>
    <w:p w:rsidR="0096207B" w:rsidRPr="0096207B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por la pérdida o daños a los bienes por la acción directa del agua como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consecuencia de filtraciones de cañerías internas del edificio. Incluye inundación por agua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proveniente del exterior.</w:t>
      </w:r>
    </w:p>
    <w:p w:rsidR="0096207B" w:rsidRPr="009F71FF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>Robo de Objetos Específicos:</w:t>
      </w:r>
    </w:p>
    <w:p w:rsidR="0096207B" w:rsidRPr="0096207B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por el daño o la pérdida de estos bienes producida por cualquier causa de bienes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especificados.</w:t>
      </w:r>
    </w:p>
    <w:p w:rsidR="0096207B" w:rsidRPr="009F71FF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>Robo Mobiliario (Dinero en Efectivo):</w:t>
      </w:r>
    </w:p>
    <w:p w:rsidR="0096207B" w:rsidRPr="0096207B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por robo del dinero en efectivo de propiedad del asegurado que se encuentro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dentro de la vivienda asegurado.</w:t>
      </w:r>
    </w:p>
    <w:p w:rsidR="0096207B" w:rsidRPr="009F71FF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>Todo Riesgo Equipos Portátiles:</w:t>
      </w:r>
    </w:p>
    <w:p w:rsidR="0096207B" w:rsidRPr="0096207B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lastRenderedPageBreak/>
        <w:t>Indemnización por incendio y robo (no hurto) que afecten al aparato y/o equipo electrónico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especificado, con cobertura nacional, e incluye también a todo el mundo entero.</w:t>
      </w:r>
    </w:p>
    <w:p w:rsidR="0096207B" w:rsidRPr="009F71FF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>Responsabilidad Civil Doméstica:</w:t>
      </w:r>
    </w:p>
    <w:p w:rsidR="0096207B" w:rsidRPr="0096207B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al servicio doméstico o a un tercero con interés legítimo sobre este, por accidentes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en el domicilio asegurado y/o en ocasión de las tareas realizadas, que provoquen su muerte o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incapacidad.</w:t>
      </w:r>
    </w:p>
    <w:p w:rsidR="0096207B" w:rsidRPr="009F71FF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>Accidentes Personales:</w:t>
      </w:r>
    </w:p>
    <w:p w:rsidR="0096207B" w:rsidRPr="0096207B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por el fallecimiento e invalidez permanente total o parcial, ambas por accidente, del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asegurado.</w:t>
      </w:r>
    </w:p>
    <w:p w:rsidR="0096207B" w:rsidRPr="009F71FF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>Mascotas:</w:t>
      </w:r>
    </w:p>
    <w:p w:rsidR="0096207B" w:rsidRPr="0096207B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por muerte o sacrificio y gastos veterinarios del animal doméstico (perro o gato)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que resida en la vivienda asegurada.</w:t>
      </w:r>
    </w:p>
    <w:p w:rsidR="0096207B" w:rsidRPr="009F71FF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>Golf:</w:t>
      </w:r>
    </w:p>
    <w:p w:rsidR="0096207B" w:rsidRPr="0096207B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Indemnización por incendio, robo y/o hurto de efectos personales en club de golf, daños o pérdida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de los palos, Hoyo en uno, y la responsabilidad civil para el golfista.</w:t>
      </w:r>
    </w:p>
    <w:p w:rsidR="009F71FF" w:rsidRDefault="009F71FF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</w:p>
    <w:p w:rsidR="0096207B" w:rsidRPr="0096207B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 xml:space="preserve">Importante: </w:t>
      </w:r>
      <w:r w:rsidRPr="0096207B">
        <w:rPr>
          <w:color w:val="0F4A7B"/>
          <w:sz w:val="22"/>
          <w:szCs w:val="22"/>
        </w:rPr>
        <w:t xml:space="preserve">Para la emisión de la póliza de </w:t>
      </w:r>
      <w:r w:rsidR="009F71FF">
        <w:rPr>
          <w:color w:val="0F4A7B"/>
          <w:sz w:val="22"/>
          <w:szCs w:val="22"/>
        </w:rPr>
        <w:t xml:space="preserve">Seguro de </w:t>
      </w:r>
      <w:r w:rsidRPr="0096207B">
        <w:rPr>
          <w:color w:val="0F4A7B"/>
          <w:sz w:val="22"/>
          <w:szCs w:val="22"/>
        </w:rPr>
        <w:t>Hogar Premier deben seleccionarse una cobertura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>opcional como mínimo, además de las obligatorias.</w:t>
      </w:r>
    </w:p>
    <w:p w:rsidR="009F71FF" w:rsidRDefault="009F71FF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ind w:left="720"/>
        <w:rPr>
          <w:color w:val="0F4A7B"/>
          <w:sz w:val="22"/>
          <w:szCs w:val="22"/>
        </w:rPr>
      </w:pPr>
    </w:p>
    <w:p w:rsidR="0096207B" w:rsidRPr="009F71FF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DCCCD"/>
          <w:sz w:val="28"/>
          <w:szCs w:val="28"/>
        </w:rPr>
      </w:pPr>
      <w:r w:rsidRPr="009F71FF">
        <w:rPr>
          <w:b/>
          <w:color w:val="2DCCCD"/>
          <w:sz w:val="28"/>
          <w:szCs w:val="28"/>
        </w:rPr>
        <w:t>Servicios de Asistencia</w:t>
      </w:r>
    </w:p>
    <w:p w:rsidR="0096207B" w:rsidRPr="009F71FF" w:rsidRDefault="009F71FF" w:rsidP="009F71F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 xml:space="preserve">Servicio de urgencias domiciliarias: </w:t>
      </w:r>
      <w:r w:rsidR="0096207B" w:rsidRPr="009F71FF">
        <w:rPr>
          <w:color w:val="0F4A7B"/>
          <w:sz w:val="22"/>
          <w:szCs w:val="22"/>
        </w:rPr>
        <w:t>Contratando este seguro, contás adicionalmente con los</w:t>
      </w:r>
      <w:r w:rsidRPr="009F71FF">
        <w:rPr>
          <w:color w:val="0F4A7B"/>
          <w:sz w:val="22"/>
          <w:szCs w:val="22"/>
        </w:rPr>
        <w:t xml:space="preserve"> </w:t>
      </w:r>
      <w:r w:rsidR="0096207B" w:rsidRPr="009F71FF">
        <w:rPr>
          <w:color w:val="0F4A7B"/>
          <w:sz w:val="22"/>
          <w:szCs w:val="22"/>
        </w:rPr>
        <w:t>siguientes servicios gratuitos de urgencias domiciliarias durante las 24hs.:</w:t>
      </w:r>
    </w:p>
    <w:p w:rsidR="0096207B" w:rsidRPr="0096207B" w:rsidRDefault="0096207B" w:rsidP="009F7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Plomería</w:t>
      </w:r>
    </w:p>
    <w:p w:rsidR="0096207B" w:rsidRPr="0096207B" w:rsidRDefault="0096207B" w:rsidP="009F7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Gas</w:t>
      </w:r>
    </w:p>
    <w:p w:rsidR="0096207B" w:rsidRPr="0096207B" w:rsidRDefault="0096207B" w:rsidP="009F7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Electricidad</w:t>
      </w:r>
    </w:p>
    <w:p w:rsidR="0096207B" w:rsidRPr="0096207B" w:rsidRDefault="0096207B" w:rsidP="009F7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Cerrajería</w:t>
      </w:r>
    </w:p>
    <w:p w:rsidR="0096207B" w:rsidRPr="0096207B" w:rsidRDefault="0096207B" w:rsidP="009F7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Cristalería</w:t>
      </w:r>
    </w:p>
    <w:p w:rsidR="0096207B" w:rsidRPr="0096207B" w:rsidRDefault="0096207B" w:rsidP="009F7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Destapaciones</w:t>
      </w:r>
    </w:p>
    <w:p w:rsidR="0096207B" w:rsidRPr="0096207B" w:rsidRDefault="0096207B" w:rsidP="009F7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Ambulancia</w:t>
      </w:r>
    </w:p>
    <w:p w:rsidR="0096207B" w:rsidRPr="0096207B" w:rsidRDefault="0096207B" w:rsidP="009F7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Asistencia legal telefónica</w:t>
      </w:r>
    </w:p>
    <w:p w:rsidR="0096207B" w:rsidRPr="009F71FF" w:rsidRDefault="0096207B" w:rsidP="002232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>Prestaciones programadas:</w:t>
      </w:r>
      <w:r w:rsidRPr="009F71FF">
        <w:rPr>
          <w:color w:val="0F4A7B"/>
          <w:sz w:val="22"/>
          <w:szCs w:val="22"/>
        </w:rPr>
        <w:t xml:space="preserve"> para solicitar referencia de prestadores de los rubros de plomería,</w:t>
      </w:r>
      <w:r w:rsidR="009F71FF" w:rsidRPr="009F71FF">
        <w:rPr>
          <w:color w:val="0F4A7B"/>
          <w:sz w:val="22"/>
          <w:szCs w:val="22"/>
        </w:rPr>
        <w:t xml:space="preserve"> </w:t>
      </w:r>
      <w:r w:rsidRPr="009F71FF">
        <w:rPr>
          <w:color w:val="0F4A7B"/>
          <w:sz w:val="22"/>
          <w:szCs w:val="22"/>
        </w:rPr>
        <w:t>gas, electricidad, albañilería, pintura, jardinería y fumigación entre otros.</w:t>
      </w:r>
    </w:p>
    <w:p w:rsidR="0096207B" w:rsidRPr="009F71FF" w:rsidRDefault="0096207B" w:rsidP="009620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9F71FF">
        <w:rPr>
          <w:b/>
          <w:color w:val="0F4A7B"/>
          <w:sz w:val="22"/>
          <w:szCs w:val="22"/>
        </w:rPr>
        <w:t>Servicios ante siniestros cubiertos por póliza:</w:t>
      </w:r>
    </w:p>
    <w:p w:rsidR="0096207B" w:rsidRPr="0096207B" w:rsidRDefault="0096207B" w:rsidP="009F7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Limpieza</w:t>
      </w:r>
    </w:p>
    <w:p w:rsidR="0096207B" w:rsidRPr="0096207B" w:rsidRDefault="0096207B" w:rsidP="009F7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Traslado y guarda de muebles</w:t>
      </w:r>
    </w:p>
    <w:p w:rsidR="0096207B" w:rsidRPr="0096207B" w:rsidRDefault="0096207B" w:rsidP="009F71F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Hospedaje</w:t>
      </w:r>
    </w:p>
    <w:p w:rsidR="009F71FF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El alcance de cada uno de los servicios se encuentra detallado en los términos y condiciones de</w:t>
      </w:r>
      <w:r w:rsidR="009F71FF">
        <w:rPr>
          <w:color w:val="0F4A7B"/>
          <w:sz w:val="22"/>
          <w:szCs w:val="22"/>
        </w:rPr>
        <w:t xml:space="preserve"> </w:t>
      </w:r>
      <w:r w:rsidRPr="0096207B">
        <w:rPr>
          <w:color w:val="0F4A7B"/>
          <w:sz w:val="22"/>
          <w:szCs w:val="22"/>
        </w:rPr>
        <w:t xml:space="preserve">póliza. </w:t>
      </w:r>
    </w:p>
    <w:p w:rsidR="009F71FF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Prestador: AXA Assistance Argentina S.A.</w:t>
      </w:r>
      <w:r w:rsidR="009F71FF">
        <w:rPr>
          <w:color w:val="0F4A7B"/>
          <w:sz w:val="22"/>
          <w:szCs w:val="22"/>
        </w:rPr>
        <w:t xml:space="preserve"> </w:t>
      </w:r>
    </w:p>
    <w:p w:rsidR="0096207B" w:rsidRDefault="0096207B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96207B">
        <w:rPr>
          <w:color w:val="0F4A7B"/>
          <w:sz w:val="22"/>
          <w:szCs w:val="22"/>
        </w:rPr>
        <w:t>Teléfonos: 0800-888-7994 / (011) 4370-8490.</w:t>
      </w:r>
    </w:p>
    <w:p w:rsidR="007C7B03" w:rsidRDefault="007C7B03" w:rsidP="009F71FF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</w:p>
    <w:p w:rsidR="0096207B" w:rsidRPr="007C7B03" w:rsidRDefault="0096207B" w:rsidP="007C7B0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DCCCD"/>
          <w:sz w:val="28"/>
          <w:szCs w:val="28"/>
        </w:rPr>
      </w:pPr>
      <w:r w:rsidRPr="007C7B03">
        <w:rPr>
          <w:b/>
          <w:color w:val="2DCCCD"/>
          <w:sz w:val="28"/>
          <w:szCs w:val="28"/>
        </w:rPr>
        <w:t>¿Cuánto cuesta este seguro?</w:t>
      </w:r>
    </w:p>
    <w:p w:rsidR="0096207B" w:rsidRPr="0096207B" w:rsidRDefault="007C7B03" w:rsidP="007C7B0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>
        <w:rPr>
          <w:color w:val="0F4A7B"/>
          <w:sz w:val="22"/>
          <w:szCs w:val="22"/>
        </w:rPr>
        <w:t>E</w:t>
      </w:r>
      <w:r w:rsidR="0096207B" w:rsidRPr="0096207B">
        <w:rPr>
          <w:color w:val="0F4A7B"/>
          <w:sz w:val="22"/>
          <w:szCs w:val="22"/>
        </w:rPr>
        <w:t>l precio de este seguro está determinado por el valor de las sumas aseguradas seleccionadas y</w:t>
      </w:r>
      <w:r>
        <w:rPr>
          <w:color w:val="0F4A7B"/>
          <w:sz w:val="22"/>
          <w:szCs w:val="22"/>
        </w:rPr>
        <w:t xml:space="preserve"> </w:t>
      </w:r>
      <w:r w:rsidR="0096207B" w:rsidRPr="0096207B">
        <w:rPr>
          <w:color w:val="0F4A7B"/>
          <w:sz w:val="22"/>
          <w:szCs w:val="22"/>
        </w:rPr>
        <w:t>la ubicación de la vivienda asegurada, por la cual se han determinado dos zonas de riesgo: Alto y</w:t>
      </w:r>
      <w:r>
        <w:rPr>
          <w:color w:val="0F4A7B"/>
          <w:sz w:val="22"/>
          <w:szCs w:val="22"/>
        </w:rPr>
        <w:t xml:space="preserve"> </w:t>
      </w:r>
      <w:r w:rsidR="0096207B" w:rsidRPr="0096207B">
        <w:rPr>
          <w:color w:val="0F4A7B"/>
          <w:sz w:val="22"/>
          <w:szCs w:val="22"/>
        </w:rPr>
        <w:t>Bajo. Pero es necesario realizar una cotización para determinar el costo exacto de éste seguro.</w:t>
      </w:r>
    </w:p>
    <w:p w:rsidR="0096207B" w:rsidRDefault="0096207B" w:rsidP="0096207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DCCCD"/>
          <w:sz w:val="28"/>
          <w:szCs w:val="28"/>
        </w:rPr>
      </w:pPr>
    </w:p>
    <w:p w:rsidR="00630F46" w:rsidRP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DCCCD"/>
          <w:sz w:val="28"/>
          <w:szCs w:val="28"/>
        </w:rPr>
      </w:pPr>
      <w:r w:rsidRPr="00630F46">
        <w:rPr>
          <w:b/>
          <w:color w:val="2DCCCD"/>
          <w:sz w:val="28"/>
          <w:szCs w:val="28"/>
        </w:rPr>
        <w:t>Medidas mínimas de seguridad</w:t>
      </w:r>
    </w:p>
    <w:p w:rsidR="00630F46" w:rsidRP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630F46">
        <w:rPr>
          <w:b/>
          <w:color w:val="0F4A7B"/>
          <w:sz w:val="22"/>
          <w:szCs w:val="22"/>
        </w:rPr>
        <w:t>1. Respecto a la cobertura de INCENDIO:</w:t>
      </w:r>
    </w:p>
    <w:p w:rsid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630F46">
        <w:rPr>
          <w:color w:val="0F4A7B"/>
          <w:sz w:val="22"/>
          <w:szCs w:val="22"/>
        </w:rPr>
        <w:t>Es condición de este seguro que el hogar donde se hallan los bienes asegurados cuente con las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siguientes características:</w:t>
      </w:r>
      <w:r>
        <w:rPr>
          <w:color w:val="0F4A7B"/>
          <w:sz w:val="22"/>
          <w:szCs w:val="22"/>
        </w:rPr>
        <w:t xml:space="preserve"> </w:t>
      </w:r>
    </w:p>
    <w:p w:rsid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630F46">
        <w:rPr>
          <w:color w:val="0F4A7B"/>
          <w:sz w:val="22"/>
          <w:szCs w:val="22"/>
        </w:rPr>
        <w:t>a) Cuente con techos sólidos y paredes exteriores de material, ambos incombustibles,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construidos de mampostería, ladrillo y/u hormigón.</w:t>
      </w:r>
      <w:r>
        <w:rPr>
          <w:color w:val="0F4A7B"/>
          <w:sz w:val="22"/>
          <w:szCs w:val="22"/>
        </w:rPr>
        <w:t xml:space="preserve"> </w:t>
      </w:r>
    </w:p>
    <w:p w:rsid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630F46">
        <w:rPr>
          <w:color w:val="0F4A7B"/>
          <w:sz w:val="22"/>
          <w:szCs w:val="22"/>
        </w:rPr>
        <w:t>b) Que en la vivienda objeto del seguro no se desarrollan actividades comerciales.</w:t>
      </w:r>
    </w:p>
    <w:p w:rsidR="00630F46" w:rsidRP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</w:p>
    <w:p w:rsidR="00630F46" w:rsidRP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b/>
          <w:color w:val="0F4A7B"/>
          <w:sz w:val="22"/>
          <w:szCs w:val="22"/>
        </w:rPr>
      </w:pPr>
      <w:r w:rsidRPr="00630F46">
        <w:rPr>
          <w:b/>
          <w:color w:val="0F4A7B"/>
          <w:sz w:val="22"/>
          <w:szCs w:val="22"/>
        </w:rPr>
        <w:t>2. Respecto a la cobertura de ROBO:</w:t>
      </w:r>
    </w:p>
    <w:p w:rsid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630F46">
        <w:rPr>
          <w:color w:val="0F4A7B"/>
          <w:sz w:val="22"/>
          <w:szCs w:val="22"/>
        </w:rPr>
        <w:t>Las exigencias requeridas en relación a la cobertura de Robo son las siguientes:</w:t>
      </w:r>
      <w:r>
        <w:rPr>
          <w:color w:val="0F4A7B"/>
          <w:sz w:val="22"/>
          <w:szCs w:val="22"/>
        </w:rPr>
        <w:t xml:space="preserve"> </w:t>
      </w:r>
    </w:p>
    <w:p w:rsidR="00630F46" w:rsidRP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630F46">
        <w:rPr>
          <w:color w:val="0F4A7B"/>
          <w:sz w:val="22"/>
          <w:szCs w:val="22"/>
        </w:rPr>
        <w:t>c) Sea la vivienda permanente del Asegurado y en ella no se desarrollen actividades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comerciales;</w:t>
      </w:r>
    </w:p>
    <w:p w:rsid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630F46">
        <w:rPr>
          <w:color w:val="0F4A7B"/>
          <w:sz w:val="22"/>
          <w:szCs w:val="22"/>
        </w:rPr>
        <w:t>d) No linde con terreno baldío, obra en construcción o edificio abandonado, y cuente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con una protección perimetral de 1.80 mts. de altura que impida el acceso del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exterior;</w:t>
      </w:r>
      <w:r>
        <w:rPr>
          <w:color w:val="0F4A7B"/>
          <w:sz w:val="22"/>
          <w:szCs w:val="22"/>
        </w:rPr>
        <w:t xml:space="preserve"> </w:t>
      </w:r>
    </w:p>
    <w:p w:rsid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630F46">
        <w:rPr>
          <w:color w:val="0F4A7B"/>
          <w:sz w:val="22"/>
          <w:szCs w:val="22"/>
        </w:rPr>
        <w:t>e) Todas las puertas de acceso cuenten con cerraduras doble paleta, trabex o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bidimensionales. Se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entiende como puertas de acceso, a las que tengan acceso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directo desde la calle o de patios, jardines, corredores, terrazas o palieres en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propiedad horizontal;</w:t>
      </w:r>
      <w:r>
        <w:rPr>
          <w:color w:val="0F4A7B"/>
          <w:sz w:val="22"/>
          <w:szCs w:val="22"/>
        </w:rPr>
        <w:t xml:space="preserve"> </w:t>
      </w:r>
    </w:p>
    <w:p w:rsid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630F46">
        <w:rPr>
          <w:color w:val="0F4A7B"/>
          <w:sz w:val="22"/>
          <w:szCs w:val="22"/>
        </w:rPr>
        <w:t>f) Cualquier abertura con panel de vidrio, policarbonato o similar ubicado en la PB o 1er</w:t>
      </w:r>
      <w:r>
        <w:rPr>
          <w:color w:val="0F4A7B"/>
          <w:sz w:val="22"/>
          <w:szCs w:val="22"/>
        </w:rPr>
        <w:t xml:space="preserve">. </w:t>
      </w:r>
      <w:r w:rsidRPr="00630F46">
        <w:rPr>
          <w:color w:val="0F4A7B"/>
          <w:sz w:val="22"/>
          <w:szCs w:val="22"/>
        </w:rPr>
        <w:t>piso que da al exterior, cuente con rejas de protección de hierro. En caso de contar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con un sistema de alarma monitoreado, conectado cada vez que el Asegurado se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ausente, no se exigirá tal protección.</w:t>
      </w:r>
      <w:r>
        <w:rPr>
          <w:color w:val="0F4A7B"/>
          <w:sz w:val="22"/>
          <w:szCs w:val="22"/>
        </w:rPr>
        <w:t xml:space="preserve"> </w:t>
      </w:r>
    </w:p>
    <w:p w:rsid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630F46">
        <w:rPr>
          <w:color w:val="0F4A7B"/>
          <w:sz w:val="22"/>
          <w:szCs w:val="22"/>
        </w:rPr>
        <w:t>Para viviendas que respeten las normas de seguridad exigidas, la indemnización que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corresponda realizar en caso de Robo será del 100%, decreciendo este porcentaje en la medida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en que no se cumpla/n alguna/s de esta/s medida/s, siempre y cuando ésta/s sea la causa del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siniestro.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En caso que la vivienda se encuentre dentro de un country o barrio cerrado y cuente con vigilancia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permanente, cercos perimetrales y accesos controlados por personal de seguridad, no serán de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aplicación las cláusulas b) y d).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Cuando el siniestro se viera facilitado o se hubiera producido por la ausencia de tales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circunstancias, se considerará el riesgo agravada y la indemnización que corresponder quedará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reducida en los siguientes porcentajes:</w:t>
      </w:r>
      <w:r>
        <w:rPr>
          <w:color w:val="0F4A7B"/>
          <w:sz w:val="22"/>
          <w:szCs w:val="22"/>
        </w:rPr>
        <w:t xml:space="preserve"> </w:t>
      </w:r>
    </w:p>
    <w:p w:rsidR="00630F46" w:rsidRPr="00630F46" w:rsidRDefault="00630F46" w:rsidP="00630F4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630F46">
        <w:rPr>
          <w:color w:val="0F4A7B"/>
          <w:sz w:val="22"/>
          <w:szCs w:val="22"/>
        </w:rPr>
        <w:t xml:space="preserve">Incumplimiento del inciso a) o b), VEINTE POR CIENTO (20%) </w:t>
      </w:r>
    </w:p>
    <w:p w:rsidR="00630F46" w:rsidRPr="00630F46" w:rsidRDefault="00630F46" w:rsidP="00630F46">
      <w:pPr>
        <w:pStyle w:val="Prrafodelista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630F46">
        <w:rPr>
          <w:color w:val="0F4A7B"/>
          <w:sz w:val="22"/>
          <w:szCs w:val="22"/>
        </w:rPr>
        <w:t>ii. Incumplimiento del inciso c) o d), TREINTA POR CIENTO (30%)</w:t>
      </w:r>
    </w:p>
    <w:p w:rsid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630F46">
        <w:rPr>
          <w:color w:val="0F4A7B"/>
          <w:sz w:val="22"/>
          <w:szCs w:val="22"/>
        </w:rPr>
        <w:t>Dichos porcentajes se consideran NO excluyentes y acumulativos por cada cláusula incumplida. Es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decir que si se trata de una casa de vacaciones (incumplimiento de inc. a) y, además las ventanas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no tienen rejas (incumplimiento inc. d), se podría contratar el seguro, pero el Asegurado debe saber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que si ocurriera un robo facilitado por estas circunstancias, la indemnización que le correspondería</w:t>
      </w:r>
      <w:r>
        <w:rPr>
          <w:color w:val="0F4A7B"/>
          <w:sz w:val="22"/>
          <w:szCs w:val="22"/>
        </w:rPr>
        <w:t xml:space="preserve"> </w:t>
      </w:r>
      <w:r w:rsidRPr="00630F46">
        <w:rPr>
          <w:color w:val="0F4A7B"/>
          <w:sz w:val="22"/>
          <w:szCs w:val="22"/>
        </w:rPr>
        <w:t>en caso de robo, se reduciría en un 50%.</w:t>
      </w:r>
    </w:p>
    <w:p w:rsid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</w:p>
    <w:p w:rsidR="00630F46" w:rsidRPr="00630F46" w:rsidRDefault="00630F46" w:rsidP="00630F46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b/>
          <w:color w:val="2DCCCD"/>
          <w:sz w:val="28"/>
          <w:szCs w:val="28"/>
        </w:rPr>
      </w:pPr>
      <w:r w:rsidRPr="00630F46">
        <w:rPr>
          <w:b/>
          <w:color w:val="2DCCCD"/>
          <w:sz w:val="28"/>
          <w:szCs w:val="28"/>
        </w:rPr>
        <w:t>¿Puedo hacer la denuncia por internet?</w:t>
      </w:r>
    </w:p>
    <w:p w:rsidR="00630F46" w:rsidRPr="00A80853" w:rsidRDefault="00630F46" w:rsidP="00A8085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F4A7B"/>
          <w:sz w:val="22"/>
          <w:szCs w:val="22"/>
        </w:rPr>
      </w:pPr>
      <w:r w:rsidRPr="00A80853">
        <w:rPr>
          <w:color w:val="0F4A7B"/>
          <w:sz w:val="22"/>
          <w:szCs w:val="22"/>
        </w:rPr>
        <w:t xml:space="preserve">Si, en caso de un siniestro, podes hacer la denuncia a la compañía de seguro sin moverte de tu casa ingresando a </w:t>
      </w:r>
      <w:hyperlink r:id="rId7" w:history="1">
        <w:r w:rsidRPr="00A80853">
          <w:rPr>
            <w:color w:val="0F4A7B"/>
            <w:sz w:val="22"/>
            <w:szCs w:val="22"/>
          </w:rPr>
          <w:t>www.bbvaseguros.com.ar</w:t>
        </w:r>
      </w:hyperlink>
      <w:r w:rsidRPr="00A80853">
        <w:rPr>
          <w:color w:val="0F4A7B"/>
          <w:sz w:val="22"/>
          <w:szCs w:val="22"/>
        </w:rPr>
        <w:t>.</w:t>
      </w:r>
    </w:p>
    <w:p w:rsidR="00630F46" w:rsidRDefault="00630F46" w:rsidP="00630F46">
      <w:pPr>
        <w:autoSpaceDE w:val="0"/>
        <w:autoSpaceDN w:val="0"/>
        <w:adjustRightInd w:val="0"/>
        <w:spacing w:line="240" w:lineRule="auto"/>
        <w:rPr>
          <w:color w:val="0F4A7B"/>
          <w:sz w:val="22"/>
          <w:szCs w:val="22"/>
        </w:rPr>
      </w:pPr>
    </w:p>
    <w:p w:rsidR="00C63AA6" w:rsidRDefault="007F16DF">
      <w:pPr>
        <w:pBdr>
          <w:top w:val="nil"/>
          <w:left w:val="nil"/>
          <w:bottom w:val="nil"/>
          <w:right w:val="nil"/>
          <w:between w:val="nil"/>
        </w:pBdr>
        <w:spacing w:before="288" w:after="120" w:line="240" w:lineRule="auto"/>
        <w:rPr>
          <w:b/>
          <w:color w:val="2DCCCD"/>
          <w:sz w:val="28"/>
          <w:szCs w:val="28"/>
        </w:rPr>
      </w:pPr>
      <w:r>
        <w:rPr>
          <w:b/>
          <w:noProof/>
          <w:color w:val="2DCCCD"/>
          <w:sz w:val="28"/>
          <w:szCs w:val="28"/>
          <w:lang w:val="es-AR"/>
        </w:rPr>
        <w:drawing>
          <wp:inline distT="0" distB="0" distL="0" distR="0">
            <wp:extent cx="152400" cy="152400"/>
            <wp:effectExtent l="0" t="0" r="0" b="0"/>
            <wp:docPr id="5" name="image2.png" descr="aviso16x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viso16x1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2DCCCD"/>
          <w:sz w:val="28"/>
          <w:szCs w:val="28"/>
        </w:rPr>
        <w:t xml:space="preserve"> Glosario:</w:t>
      </w:r>
    </w:p>
    <w:p w:rsidR="002436A2" w:rsidRPr="002436A2" w:rsidRDefault="002436A2" w:rsidP="002436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rPr>
          <w:color w:val="0F4A7B"/>
          <w:sz w:val="22"/>
          <w:szCs w:val="22"/>
        </w:rPr>
      </w:pPr>
      <w:r w:rsidRPr="002436A2">
        <w:rPr>
          <w:b/>
          <w:color w:val="0F4A7B"/>
          <w:sz w:val="22"/>
          <w:szCs w:val="22"/>
        </w:rPr>
        <w:t xml:space="preserve">ASEGURADO: </w:t>
      </w:r>
      <w:r w:rsidRPr="002436A2">
        <w:rPr>
          <w:color w:val="0F4A7B"/>
          <w:sz w:val="22"/>
          <w:szCs w:val="22"/>
        </w:rPr>
        <w:t>Persona, titular del interés sobre cuyo riesgo se toma el seguro. En el sentido estricto, es la persona sobre la cual recae la cobertura del seguro.</w:t>
      </w:r>
    </w:p>
    <w:p w:rsidR="002436A2" w:rsidRPr="002436A2" w:rsidRDefault="002436A2" w:rsidP="002436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rPr>
          <w:color w:val="0F4A7B"/>
          <w:sz w:val="22"/>
          <w:szCs w:val="22"/>
        </w:rPr>
      </w:pPr>
      <w:r w:rsidRPr="002436A2">
        <w:rPr>
          <w:b/>
          <w:color w:val="0F4A7B"/>
          <w:sz w:val="22"/>
          <w:szCs w:val="22"/>
        </w:rPr>
        <w:t xml:space="preserve">INDEMNIZACIÓN: </w:t>
      </w:r>
      <w:r w:rsidRPr="002436A2">
        <w:rPr>
          <w:color w:val="0F4A7B"/>
          <w:sz w:val="22"/>
          <w:szCs w:val="22"/>
        </w:rPr>
        <w:t xml:space="preserve">importe que debe pagar la compañía aseguradora cuando se produce un siniestro amparado por la póliza. </w:t>
      </w:r>
    </w:p>
    <w:p w:rsidR="002436A2" w:rsidRPr="002436A2" w:rsidRDefault="002436A2" w:rsidP="002436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rPr>
          <w:color w:val="0F4A7B"/>
          <w:sz w:val="22"/>
          <w:szCs w:val="22"/>
        </w:rPr>
      </w:pPr>
      <w:r w:rsidRPr="002436A2">
        <w:rPr>
          <w:b/>
          <w:color w:val="0F4A7B"/>
          <w:sz w:val="22"/>
          <w:szCs w:val="22"/>
        </w:rPr>
        <w:t xml:space="preserve">PÓLIZA: </w:t>
      </w:r>
      <w:r w:rsidRPr="002436A2">
        <w:rPr>
          <w:color w:val="0F4A7B"/>
          <w:sz w:val="22"/>
          <w:szCs w:val="22"/>
        </w:rPr>
        <w:t>acuerdo por el cual una de las partes, la Compañía de Seguros asume la obligación de dar una suma de dinero y/o indemnización prevista por un hecho cubierto. Es el contrato de seguro donde se establecen los términos y condiciones (cobertura, prima, exclusiones) del seguro y que son aceptados por el asegurado.</w:t>
      </w:r>
    </w:p>
    <w:p w:rsidR="00C63AA6" w:rsidRPr="002436A2" w:rsidRDefault="002436A2" w:rsidP="002436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rPr>
          <w:color w:val="0F4A7B"/>
          <w:sz w:val="22"/>
          <w:szCs w:val="22"/>
        </w:rPr>
      </w:pPr>
      <w:r w:rsidRPr="002436A2">
        <w:rPr>
          <w:b/>
          <w:color w:val="0F4A7B"/>
          <w:sz w:val="22"/>
          <w:szCs w:val="22"/>
        </w:rPr>
        <w:t xml:space="preserve">PREMIO: </w:t>
      </w:r>
      <w:r w:rsidRPr="002436A2">
        <w:rPr>
          <w:color w:val="0F4A7B"/>
          <w:sz w:val="22"/>
          <w:szCs w:val="22"/>
        </w:rPr>
        <w:t>Es el precio del seguro que establece la compañía de seguro para cubrir los riesgos cubiertos.</w:t>
      </w:r>
    </w:p>
    <w:p w:rsidR="00C63AA6" w:rsidRDefault="00C63AA6" w:rsidP="002436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11"/>
        <w:rPr>
          <w:b/>
          <w:color w:val="0F4A7B"/>
          <w:sz w:val="22"/>
          <w:szCs w:val="22"/>
        </w:rPr>
      </w:pPr>
    </w:p>
    <w:p w:rsidR="00C63AA6" w:rsidRDefault="00C63AA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"/>
        <w:rPr>
          <w:color w:val="0F4A7B"/>
          <w:sz w:val="22"/>
          <w:szCs w:val="22"/>
        </w:rPr>
      </w:pPr>
    </w:p>
    <w:tbl>
      <w:tblPr>
        <w:tblStyle w:val="a4"/>
        <w:tblW w:w="9639" w:type="dxa"/>
        <w:tblInd w:w="2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C63AA6">
        <w:tc>
          <w:tcPr>
            <w:tcW w:w="9639" w:type="dxa"/>
          </w:tcPr>
          <w:p w:rsidR="00C63AA6" w:rsidRDefault="007F16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4A7B"/>
                <w:sz w:val="22"/>
                <w:szCs w:val="22"/>
              </w:rPr>
            </w:pPr>
            <w:r>
              <w:rPr>
                <w:color w:val="0F4A7B"/>
                <w:sz w:val="22"/>
                <w:szCs w:val="22"/>
              </w:rPr>
              <w:t>En BBVA velamos por la transparencia en la información que te ofrecemos. Todos nuestros Oficiales te darán explicaciones claras y fáciles de comprender acerca de las características del producto por el que consultes, con especial detalle en el tipo de interés y las comisiones implicadas.</w:t>
            </w:r>
          </w:p>
          <w:p w:rsidR="00C63AA6" w:rsidRDefault="00C63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rPr>
                <w:color w:val="0F4A7B"/>
                <w:sz w:val="22"/>
                <w:szCs w:val="22"/>
              </w:rPr>
            </w:pPr>
          </w:p>
          <w:p w:rsidR="00C63AA6" w:rsidRDefault="007F16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4A7B"/>
                <w:sz w:val="22"/>
                <w:szCs w:val="22"/>
              </w:rPr>
            </w:pPr>
            <w:r>
              <w:rPr>
                <w:color w:val="0F4A7B"/>
                <w:sz w:val="22"/>
                <w:szCs w:val="22"/>
              </w:rPr>
              <w:t>Este documento contiene información comercial y es independiente de la información que legalmente estamos obligados a entregarte.</w:t>
            </w:r>
          </w:p>
          <w:p w:rsidR="00C63AA6" w:rsidRDefault="00C63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4A7B"/>
                <w:sz w:val="22"/>
                <w:szCs w:val="22"/>
              </w:rPr>
            </w:pPr>
          </w:p>
          <w:p w:rsidR="00C63AA6" w:rsidRDefault="007F16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4A7B"/>
                <w:sz w:val="22"/>
                <w:szCs w:val="22"/>
              </w:rPr>
            </w:pPr>
            <w:r>
              <w:rPr>
                <w:color w:val="0F4A7B"/>
                <w:sz w:val="22"/>
                <w:szCs w:val="22"/>
              </w:rPr>
              <w:t>Agente Institorio: BBVA Banco Francés SA, CUIT 30-50000319-3, Av. Córdoba 111 Piso 31, CABA. Compañía Aseguradora: BBVA Consolidar Seguros SA, CUIT 30-50006423-0, Av. Leandro N. Alem 728/732, CABA. Nº. Inscripción SSN 0396. Superintendencia de Seguros de la Nación 4338-4000 o 0-800-666-8400, www.ssn.gob.ar.".</w:t>
            </w:r>
          </w:p>
          <w:p w:rsidR="00C63AA6" w:rsidRDefault="00C63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4A7B"/>
                <w:sz w:val="22"/>
                <w:szCs w:val="22"/>
              </w:rPr>
            </w:pPr>
          </w:p>
          <w:p w:rsidR="00C63AA6" w:rsidRDefault="007F16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F4A7B"/>
                <w:sz w:val="22"/>
                <w:szCs w:val="22"/>
              </w:rPr>
            </w:pPr>
            <w:r>
              <w:rPr>
                <w:color w:val="0F4A7B"/>
                <w:sz w:val="22"/>
                <w:szCs w:val="22"/>
              </w:rPr>
              <w:t>Cobertura y contratación sujetas a los términos y condiciones de suscripción y de póliza de la Aseguradora.</w:t>
            </w:r>
          </w:p>
          <w:p w:rsidR="00C63AA6" w:rsidRDefault="007F16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rPr>
                <w:color w:val="3333FF"/>
              </w:rPr>
            </w:pPr>
            <w:r>
              <w:rPr>
                <w:color w:val="0F4A7B"/>
                <w:sz w:val="22"/>
                <w:szCs w:val="22"/>
              </w:rPr>
              <w:t>Los accionistas limitan su responsabilidad a la integración de las acciones suscriptas Ley Nº. 19.550 y Ley Nº. 25.738.</w:t>
            </w:r>
          </w:p>
        </w:tc>
      </w:tr>
    </w:tbl>
    <w:p w:rsidR="00C63AA6" w:rsidRDefault="00C63AA6">
      <w:pPr>
        <w:rPr>
          <w:color w:val="000000"/>
        </w:rPr>
      </w:pPr>
    </w:p>
    <w:p w:rsidR="00C63AA6" w:rsidRDefault="00C63AA6">
      <w:pPr>
        <w:rPr>
          <w:color w:val="0F4A7B"/>
        </w:rPr>
      </w:pPr>
      <w:bookmarkStart w:id="1" w:name="_gjdgxs" w:colFirst="0" w:colLast="0"/>
      <w:bookmarkEnd w:id="1"/>
    </w:p>
    <w:p w:rsidR="00C63AA6" w:rsidRDefault="00C63AA6">
      <w:pPr>
        <w:rPr>
          <w:color w:val="0F4A7B"/>
        </w:rPr>
      </w:pPr>
    </w:p>
    <w:p w:rsidR="00C63AA6" w:rsidRDefault="00C63AA6">
      <w:pPr>
        <w:rPr>
          <w:color w:val="0F4A7B"/>
        </w:rPr>
      </w:pPr>
    </w:p>
    <w:p w:rsidR="00C63AA6" w:rsidRDefault="00C63AA6">
      <w:pPr>
        <w:rPr>
          <w:color w:val="0F4A7B"/>
        </w:rPr>
      </w:pPr>
    </w:p>
    <w:p w:rsidR="00C63AA6" w:rsidRDefault="00C63AA6">
      <w:pPr>
        <w:rPr>
          <w:color w:val="0F4A7B"/>
        </w:rPr>
      </w:pPr>
    </w:p>
    <w:p w:rsidR="00C63AA6" w:rsidRDefault="007F16DF">
      <w:pPr>
        <w:rPr>
          <w:color w:val="0F4A7B"/>
        </w:rPr>
      </w:pPr>
      <w:r>
        <w:rPr>
          <w:color w:val="0F4A7B"/>
        </w:rPr>
        <w:t>Fuiste atendido por: ____________________________________________________________________________</w:t>
      </w:r>
    </w:p>
    <w:p w:rsidR="00C63AA6" w:rsidRDefault="00C63AA6">
      <w:pPr>
        <w:rPr>
          <w:color w:val="0F4A7B"/>
        </w:rPr>
      </w:pPr>
    </w:p>
    <w:p w:rsidR="00C63AA6" w:rsidRDefault="007F16DF">
      <w:pPr>
        <w:rPr>
          <w:color w:val="0F4A7B"/>
        </w:rPr>
      </w:pPr>
      <w:r>
        <w:rPr>
          <w:color w:val="0F4A7B"/>
        </w:rPr>
        <w:t>Teléfono de contacto: ____________________________________________________________________________</w:t>
      </w:r>
    </w:p>
    <w:p w:rsidR="00C63AA6" w:rsidRDefault="00C63AA6">
      <w:pPr>
        <w:rPr>
          <w:color w:val="0F4A7B"/>
        </w:rPr>
      </w:pPr>
    </w:p>
    <w:p w:rsidR="00C63AA6" w:rsidRDefault="007F16DF">
      <w:pPr>
        <w:rPr>
          <w:color w:val="0F4A7B"/>
        </w:rPr>
      </w:pPr>
      <w:r>
        <w:rPr>
          <w:color w:val="0F4A7B"/>
        </w:rPr>
        <w:t>E mail: ____________________________________________________________________________</w:t>
      </w:r>
    </w:p>
    <w:p w:rsidR="00C63AA6" w:rsidRDefault="00C63AA6">
      <w:pPr>
        <w:rPr>
          <w:color w:val="0F4A7B"/>
        </w:rPr>
      </w:pPr>
    </w:p>
    <w:p w:rsidR="00C63AA6" w:rsidRDefault="00C63AA6">
      <w:pPr>
        <w:jc w:val="center"/>
        <w:rPr>
          <w:color w:val="0F4A7B"/>
          <w:sz w:val="22"/>
          <w:szCs w:val="22"/>
        </w:rPr>
      </w:pPr>
    </w:p>
    <w:p w:rsidR="00C63AA6" w:rsidRDefault="00C63AA6">
      <w:pPr>
        <w:jc w:val="center"/>
        <w:rPr>
          <w:color w:val="0F4A7B"/>
          <w:sz w:val="22"/>
          <w:szCs w:val="22"/>
        </w:rPr>
      </w:pPr>
    </w:p>
    <w:tbl>
      <w:tblPr>
        <w:tblStyle w:val="a5"/>
        <w:tblW w:w="6285" w:type="dxa"/>
        <w:tblInd w:w="2115" w:type="dxa"/>
        <w:tblBorders>
          <w:top w:val="single" w:sz="4" w:space="0" w:color="0F4A7B"/>
          <w:left w:val="single" w:sz="4" w:space="0" w:color="0F4A7B"/>
          <w:bottom w:val="single" w:sz="4" w:space="0" w:color="0F4A7B"/>
          <w:right w:val="single" w:sz="4" w:space="0" w:color="0F4A7B"/>
          <w:insideH w:val="single" w:sz="6" w:space="0" w:color="0F4A7B"/>
          <w:insideV w:val="single" w:sz="6" w:space="0" w:color="0F4A7B"/>
        </w:tblBorders>
        <w:tblLayout w:type="fixed"/>
        <w:tblLook w:val="0400" w:firstRow="0" w:lastRow="0" w:firstColumn="0" w:lastColumn="0" w:noHBand="0" w:noVBand="1"/>
      </w:tblPr>
      <w:tblGrid>
        <w:gridCol w:w="3510"/>
        <w:gridCol w:w="2775"/>
      </w:tblGrid>
      <w:tr w:rsidR="00C63AA6">
        <w:trPr>
          <w:trHeight w:val="960"/>
        </w:trPr>
        <w:tc>
          <w:tcPr>
            <w:tcW w:w="3510" w:type="dxa"/>
          </w:tcPr>
          <w:p w:rsidR="00C63AA6" w:rsidRDefault="00C63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176"/>
              <w:jc w:val="center"/>
              <w:rPr>
                <w:color w:val="0F4A7B"/>
                <w:sz w:val="22"/>
                <w:szCs w:val="22"/>
              </w:rPr>
            </w:pPr>
          </w:p>
          <w:p w:rsidR="00C63AA6" w:rsidRDefault="007F16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F4A7B"/>
                <w:sz w:val="22"/>
                <w:szCs w:val="22"/>
              </w:rPr>
            </w:pPr>
            <w:r>
              <w:rPr>
                <w:color w:val="0F4A7B"/>
                <w:sz w:val="22"/>
                <w:szCs w:val="22"/>
              </w:rPr>
              <w:t>Línea BBVA 0810-999-0202</w:t>
            </w:r>
          </w:p>
          <w:p w:rsidR="00C63AA6" w:rsidRDefault="007F16DF">
            <w:pPr>
              <w:jc w:val="center"/>
              <w:rPr>
                <w:color w:val="0F4A7B"/>
                <w:sz w:val="22"/>
                <w:szCs w:val="22"/>
              </w:rPr>
            </w:pPr>
            <w:r>
              <w:rPr>
                <w:color w:val="0F4A7B"/>
                <w:sz w:val="22"/>
                <w:szCs w:val="22"/>
              </w:rPr>
              <w:t>Lunes a viernes de 9 a 21 hs.</w:t>
            </w:r>
          </w:p>
        </w:tc>
        <w:tc>
          <w:tcPr>
            <w:tcW w:w="2775" w:type="dxa"/>
          </w:tcPr>
          <w:p w:rsidR="00C63AA6" w:rsidRDefault="00C63AA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F4A7B"/>
                <w:sz w:val="22"/>
                <w:szCs w:val="22"/>
              </w:rPr>
            </w:pPr>
          </w:p>
          <w:p w:rsidR="00C63AA6" w:rsidRDefault="007F16D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F4A7B"/>
                <w:sz w:val="22"/>
                <w:szCs w:val="22"/>
              </w:rPr>
            </w:pPr>
            <w:r>
              <w:rPr>
                <w:color w:val="0F4A7B"/>
                <w:sz w:val="22"/>
                <w:szCs w:val="22"/>
              </w:rPr>
              <w:t>ww.bbva.com.ar</w:t>
            </w:r>
          </w:p>
        </w:tc>
      </w:tr>
    </w:tbl>
    <w:p w:rsidR="00C63AA6" w:rsidRDefault="00C63AA6">
      <w:pPr>
        <w:jc w:val="center"/>
        <w:rPr>
          <w:sz w:val="22"/>
          <w:szCs w:val="22"/>
        </w:rPr>
      </w:pPr>
    </w:p>
    <w:sectPr w:rsidR="00C63AA6">
      <w:headerReference w:type="default" r:id="rId9"/>
      <w:pgSz w:w="11906" w:h="16838"/>
      <w:pgMar w:top="2835" w:right="964" w:bottom="1701" w:left="737" w:header="737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655" w:rsidRDefault="00E22655">
      <w:pPr>
        <w:spacing w:line="240" w:lineRule="auto"/>
      </w:pPr>
      <w:r>
        <w:separator/>
      </w:r>
    </w:p>
  </w:endnote>
  <w:endnote w:type="continuationSeparator" w:id="0">
    <w:p w:rsidR="00E22655" w:rsidRDefault="00E22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BVAOfficeBook-Regular">
    <w:altName w:val="Times New Roman"/>
    <w:charset w:val="00"/>
    <w:family w:val="auto"/>
    <w:pitch w:val="default"/>
  </w:font>
  <w:font w:name="BBVAOfficeLight-Regula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655" w:rsidRDefault="00E22655">
      <w:pPr>
        <w:spacing w:line="240" w:lineRule="auto"/>
      </w:pPr>
      <w:r>
        <w:separator/>
      </w:r>
    </w:p>
  </w:footnote>
  <w:footnote w:type="continuationSeparator" w:id="0">
    <w:p w:rsidR="00E22655" w:rsidRDefault="00E226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DF" w:rsidRDefault="007F16DF">
    <w:r>
      <w:rPr>
        <w:noProof/>
        <w:lang w:val="es-AR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14605</wp:posOffset>
          </wp:positionH>
          <wp:positionV relativeFrom="paragraph">
            <wp:posOffset>0</wp:posOffset>
          </wp:positionV>
          <wp:extent cx="1823031" cy="468000"/>
          <wp:effectExtent l="0" t="0" r="0" b="0"/>
          <wp:wrapSquare wrapText="bothSides" distT="0" distB="0" distL="0" distR="0"/>
          <wp:docPr id="7" name="image1.png" descr="C:\Users\e049688\Desktop\__NEW BEGINING\02_LOGOS\BBVA CON TAGLINE\BBVA TAGLINE ESPANOL\RGB\BBVA_TAGLINE_ESP_RGB_LEF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e049688\Desktop\__NEW BEGINING\02_LOGOS\BBVA CON TAGLINE\BBVA TAGLINE ESPANOL\RGB\BBVA_TAGLINE_ESP_RGB_LEF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3031" cy="468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F16DF" w:rsidRDefault="007F16DF">
    <w:pPr>
      <w:pBdr>
        <w:top w:val="nil"/>
        <w:left w:val="nil"/>
        <w:bottom w:val="nil"/>
        <w:right w:val="nil"/>
        <w:between w:val="nil"/>
      </w:pBdr>
      <w:tabs>
        <w:tab w:val="left" w:pos="750"/>
        <w:tab w:val="left" w:pos="1440"/>
        <w:tab w:val="right" w:pos="8504"/>
        <w:tab w:val="right" w:pos="10205"/>
      </w:tabs>
      <w:spacing w:before="720" w:after="120" w:line="240" w:lineRule="auto"/>
      <w:ind w:left="709" w:hanging="709"/>
      <w:jc w:val="right"/>
      <w:rPr>
        <w:b/>
        <w:color w:val="004481"/>
        <w:sz w:val="22"/>
        <w:szCs w:val="22"/>
      </w:rPr>
    </w:pPr>
    <w:r>
      <w:rPr>
        <w:b/>
        <w:color w:val="004481"/>
        <w:sz w:val="22"/>
        <w:szCs w:val="22"/>
      </w:rPr>
      <w:t xml:space="preserve">Seguro de </w:t>
    </w:r>
    <w:r w:rsidR="00C332A2">
      <w:rPr>
        <w:b/>
        <w:color w:val="004481"/>
        <w:sz w:val="22"/>
        <w:szCs w:val="22"/>
      </w:rPr>
      <w:t>Hogar Premier</w:t>
    </w:r>
  </w:p>
  <w:p w:rsidR="007F16DF" w:rsidRDefault="007F16DF">
    <w:pPr>
      <w:ind w:left="5673" w:firstLine="707"/>
      <w:jc w:val="right"/>
      <w:rPr>
        <w:b/>
        <w:color w:val="004481"/>
      </w:rPr>
    </w:pPr>
    <w:r>
      <w:rPr>
        <w:rFonts w:ascii="BBVAOfficeBook-Regular" w:eastAsia="BBVAOfficeBook-Regular" w:hAnsi="BBVAOfficeBook-Regular" w:cs="BBVAOfficeBook-Regular"/>
        <w:color w:val="004481"/>
        <w:sz w:val="16"/>
        <w:szCs w:val="16"/>
      </w:rPr>
      <w:t xml:space="preserve">Fecha de emisión: </w:t>
    </w:r>
    <w:r w:rsidR="00C332A2">
      <w:rPr>
        <w:rFonts w:ascii="BBVAOfficeLight-Regular" w:eastAsia="BBVAOfficeLight-Regular" w:hAnsi="BBVAOfficeLight-Regular" w:cs="BBVAOfficeLight-Regular"/>
        <w:color w:val="004481"/>
        <w:sz w:val="16"/>
        <w:szCs w:val="16"/>
      </w:rPr>
      <w:t>Octu</w:t>
    </w:r>
    <w:r w:rsidR="00630F46">
      <w:rPr>
        <w:rFonts w:ascii="BBVAOfficeLight-Regular" w:eastAsia="BBVAOfficeLight-Regular" w:hAnsi="BBVAOfficeLight-Regular" w:cs="BBVAOfficeLight-Regular"/>
        <w:color w:val="004481"/>
        <w:sz w:val="16"/>
        <w:szCs w:val="16"/>
      </w:rPr>
      <w:t>bre</w:t>
    </w:r>
    <w:r>
      <w:rPr>
        <w:rFonts w:ascii="BBVAOfficeLight-Regular" w:eastAsia="BBVAOfficeLight-Regular" w:hAnsi="BBVAOfficeLight-Regular" w:cs="BBVAOfficeLight-Regular"/>
        <w:color w:val="004481"/>
        <w:sz w:val="16"/>
        <w:szCs w:val="16"/>
      </w:rPr>
      <w:t xml:space="preserve"> de 2019</w:t>
    </w:r>
  </w:p>
  <w:p w:rsidR="007F16DF" w:rsidRDefault="007F16D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39D0"/>
    <w:multiLevelType w:val="multilevel"/>
    <w:tmpl w:val="275A01CE"/>
    <w:lvl w:ilvl="0">
      <w:start w:val="1"/>
      <w:numFmt w:val="bullet"/>
      <w:lvlText w:val="●"/>
      <w:lvlJc w:val="left"/>
      <w:pPr>
        <w:ind w:left="720" w:hanging="360"/>
      </w:pPr>
      <w:rPr>
        <w:color w:val="2DCCC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8976C5"/>
    <w:multiLevelType w:val="hybridMultilevel"/>
    <w:tmpl w:val="BD2AA63E"/>
    <w:lvl w:ilvl="0" w:tplc="643820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3251"/>
    <w:multiLevelType w:val="multilevel"/>
    <w:tmpl w:val="2408C792"/>
    <w:lvl w:ilvl="0">
      <w:start w:val="1"/>
      <w:numFmt w:val="bullet"/>
      <w:lvlText w:val="●"/>
      <w:lvlJc w:val="left"/>
      <w:pPr>
        <w:ind w:left="720" w:hanging="360"/>
      </w:pPr>
      <w:rPr>
        <w:color w:val="2DCCC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A015D4"/>
    <w:multiLevelType w:val="multilevel"/>
    <w:tmpl w:val="50EA7DD0"/>
    <w:lvl w:ilvl="0">
      <w:start w:val="1"/>
      <w:numFmt w:val="bullet"/>
      <w:lvlText w:val="●"/>
      <w:lvlJc w:val="left"/>
      <w:pPr>
        <w:ind w:left="720" w:hanging="360"/>
      </w:pPr>
      <w:rPr>
        <w:color w:val="2DCCC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45941B5"/>
    <w:multiLevelType w:val="multilevel"/>
    <w:tmpl w:val="F3D0167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FFFF"/>
        <w:sz w:val="16"/>
        <w:szCs w:val="16"/>
        <w:u w:val="no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58F0E52"/>
    <w:multiLevelType w:val="multilevel"/>
    <w:tmpl w:val="18B4F2A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F037193"/>
    <w:multiLevelType w:val="hybridMultilevel"/>
    <w:tmpl w:val="450A1642"/>
    <w:lvl w:ilvl="0" w:tplc="AB0C624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  <w:color w:val="0F4A7B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AA6"/>
    <w:rsid w:val="000C7AF6"/>
    <w:rsid w:val="00113EF3"/>
    <w:rsid w:val="002436A2"/>
    <w:rsid w:val="00261A7E"/>
    <w:rsid w:val="00376215"/>
    <w:rsid w:val="003C3604"/>
    <w:rsid w:val="00630F46"/>
    <w:rsid w:val="00715777"/>
    <w:rsid w:val="007C7B03"/>
    <w:rsid w:val="007F16DF"/>
    <w:rsid w:val="00925E5E"/>
    <w:rsid w:val="0096207B"/>
    <w:rsid w:val="009B6B52"/>
    <w:rsid w:val="009F71FF"/>
    <w:rsid w:val="00A80853"/>
    <w:rsid w:val="00B70062"/>
    <w:rsid w:val="00C332A2"/>
    <w:rsid w:val="00C63AA6"/>
    <w:rsid w:val="00DB428D"/>
    <w:rsid w:val="00E2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193B8-BE64-4511-938B-204A20BF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121212"/>
        <w:sz w:val="24"/>
        <w:szCs w:val="24"/>
        <w:lang w:val="es-ES" w:eastAsia="es-AR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720" w:hanging="720"/>
      <w:outlineLvl w:val="0"/>
    </w:pPr>
    <w:rPr>
      <w:color w:val="02A5A5"/>
      <w:sz w:val="44"/>
      <w:szCs w:val="44"/>
    </w:rPr>
  </w:style>
  <w:style w:type="paragraph" w:styleId="Ttulo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720" w:line="240" w:lineRule="auto"/>
      <w:ind w:left="709" w:hanging="709"/>
      <w:outlineLvl w:val="1"/>
    </w:pPr>
    <w:rPr>
      <w:b/>
      <w:color w:val="072146"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720" w:after="200"/>
      <w:outlineLvl w:val="2"/>
    </w:pPr>
    <w:rPr>
      <w:b/>
      <w:color w:val="004481"/>
      <w:sz w:val="28"/>
      <w:szCs w:val="28"/>
    </w:rPr>
  </w:style>
  <w:style w:type="paragraph" w:styleId="Ttulo4">
    <w:name w:val="heading 4"/>
    <w:basedOn w:val="Normal"/>
    <w:next w:val="Normal"/>
    <w:pPr>
      <w:keepLines/>
      <w:pBdr>
        <w:top w:val="nil"/>
        <w:left w:val="nil"/>
        <w:bottom w:val="nil"/>
        <w:right w:val="nil"/>
        <w:between w:val="nil"/>
      </w:pBdr>
      <w:spacing w:before="360"/>
      <w:outlineLvl w:val="3"/>
    </w:pPr>
    <w:rPr>
      <w:b/>
      <w:color w:val="1973B8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color w:val="00326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4F5F5"/>
    </w:tcPr>
  </w:style>
  <w:style w:type="table" w:customStyle="1" w:styleId="a0">
    <w:basedOn w:val="TableNormal"/>
    <w:pPr>
      <w:spacing w:line="240" w:lineRule="auto"/>
    </w:pPr>
    <w:rPr>
      <w:color w:val="00326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4F5F5"/>
    </w:tcPr>
  </w:style>
  <w:style w:type="table" w:customStyle="1" w:styleId="a1">
    <w:basedOn w:val="TableNormal"/>
    <w:pPr>
      <w:spacing w:line="240" w:lineRule="auto"/>
    </w:pPr>
    <w:rPr>
      <w:color w:val="00326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4F5F5"/>
    </w:tcPr>
  </w:style>
  <w:style w:type="table" w:customStyle="1" w:styleId="a2">
    <w:basedOn w:val="TableNormal"/>
    <w:pPr>
      <w:spacing w:line="240" w:lineRule="auto"/>
    </w:pPr>
    <w:rPr>
      <w:color w:val="00326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4F5F5"/>
    </w:tcPr>
  </w:style>
  <w:style w:type="table" w:customStyle="1" w:styleId="a3">
    <w:basedOn w:val="TableNormal"/>
    <w:pPr>
      <w:spacing w:line="240" w:lineRule="auto"/>
    </w:pPr>
    <w:rPr>
      <w:color w:val="00326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4F5F5"/>
    </w:tcPr>
  </w:style>
  <w:style w:type="table" w:customStyle="1" w:styleId="a4">
    <w:basedOn w:val="TableNormal"/>
    <w:pPr>
      <w:widowControl w:val="0"/>
      <w:spacing w:line="240" w:lineRule="auto"/>
    </w:pPr>
    <w:rPr>
      <w:color w:val="00326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4F5F5"/>
    </w:tcPr>
  </w:style>
  <w:style w:type="table" w:customStyle="1" w:styleId="a5">
    <w:basedOn w:val="TableNormal"/>
    <w:pPr>
      <w:widowControl w:val="0"/>
      <w:spacing w:line="240" w:lineRule="auto"/>
    </w:pPr>
    <w:rPr>
      <w:color w:val="00326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4F5F5"/>
    </w:tcPr>
  </w:style>
  <w:style w:type="paragraph" w:styleId="Prrafodelista">
    <w:name w:val="List Paragraph"/>
    <w:basedOn w:val="Normal"/>
    <w:uiPriority w:val="34"/>
    <w:qFormat/>
    <w:rsid w:val="00925E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332A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2A2"/>
  </w:style>
  <w:style w:type="paragraph" w:styleId="Piedepgina">
    <w:name w:val="footer"/>
    <w:basedOn w:val="Normal"/>
    <w:link w:val="PiedepginaCar"/>
    <w:uiPriority w:val="99"/>
    <w:unhideWhenUsed/>
    <w:rsid w:val="00C332A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2A2"/>
  </w:style>
  <w:style w:type="character" w:styleId="Hipervnculo">
    <w:name w:val="Hyperlink"/>
    <w:basedOn w:val="Fuentedeprrafopredeter"/>
    <w:uiPriority w:val="99"/>
    <w:unhideWhenUsed/>
    <w:rsid w:val="00630F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bbvaseguros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1667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Tortorelli, Roberto</dc:creator>
  <cp:lastModifiedBy>Pedro Estruga</cp:lastModifiedBy>
  <cp:revision>2</cp:revision>
  <dcterms:created xsi:type="dcterms:W3CDTF">2019-11-08T15:30:00Z</dcterms:created>
  <dcterms:modified xsi:type="dcterms:W3CDTF">2019-11-08T15:30:00Z</dcterms:modified>
</cp:coreProperties>
</file>